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200188" w:rsidRDefault="00583CC7" w:rsidP="00200188">
      <w:pPr>
        <w:tabs>
          <w:tab w:val="center" w:pos="4933"/>
        </w:tabs>
        <w:rPr>
          <w:color w:val="FFFFFF" w:themeColor="background1"/>
          <w:sz w:val="40"/>
          <w:szCs w:val="97"/>
          <w:lang w:val="en-US"/>
        </w:rPr>
      </w:pPr>
      <w:r w:rsidRPr="00583CC7">
        <w:rPr>
          <w:rStyle w:val="Heading1Char"/>
          <w:color w:val="FFFFFF" w:themeColor="background1"/>
          <w:sz w:val="32"/>
        </w:rPr>
        <w:t xml:space="preserve">Minimum Street Setback </w:t>
      </w:r>
      <w:r w:rsidR="00B6649D">
        <w:rPr>
          <w:rStyle w:val="Heading1Char"/>
          <w:color w:val="FFFFFF" w:themeColor="background1"/>
          <w:sz w:val="32"/>
        </w:rPr>
        <w:t>- Regulation 74</w:t>
      </w:r>
    </w:p>
    <w:p w:rsidR="0055116B" w:rsidRDefault="00BC6BA2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color w:val="FFFFFF" w:themeColor="background1"/>
          <w:sz w:val="8"/>
          <w:szCs w:val="8"/>
          <w:lang w:val="en-US"/>
        </w:rPr>
        <w:br/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 w:rsid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>TO VARY REQUIREMENTS OF PART</w:t>
      </w:r>
      <w:r w:rsidR="0055116B">
        <w:rPr>
          <w:b/>
          <w:bCs/>
          <w:color w:val="FFFFFF" w:themeColor="background1"/>
          <w:spacing w:val="-3"/>
          <w:sz w:val="24"/>
          <w:szCs w:val="36"/>
        </w:rPr>
        <w:t xml:space="preserve"> 5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B6649D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200188" w:rsidRDefault="00061AE3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E9673B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061AE3" w:rsidP="00061AE3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061AE3">
        <w:trPr>
          <w:trHeight w:val="261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061AE3" w:rsidP="00061AE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3C0521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3C0521" w:rsidRDefault="005F5D77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spacing w:val="-3"/>
                <w:sz w:val="22"/>
                <w:szCs w:val="22"/>
              </w:rPr>
            </w:pPr>
            <w:r w:rsidRPr="005F5D77">
              <w:rPr>
                <w:b/>
                <w:spacing w:val="-3"/>
                <w:sz w:val="22"/>
                <w:szCs w:val="22"/>
              </w:rPr>
              <w:t>Minimum</w:t>
            </w:r>
            <w:r w:rsidR="00B6649D">
              <w:rPr>
                <w:b/>
                <w:spacing w:val="-3"/>
                <w:sz w:val="22"/>
                <w:szCs w:val="22"/>
              </w:rPr>
              <w:t xml:space="preserve"> Street Setback - Regulation 74</w:t>
            </w:r>
          </w:p>
        </w:tc>
      </w:tr>
      <w:tr w:rsidR="00B57AB9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3C0521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Objective</w:t>
            </w:r>
          </w:p>
        </w:tc>
      </w:tr>
      <w:tr w:rsidR="00200188" w:rsidRPr="007F18AC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7F18AC" w:rsidRDefault="005F5D77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spacing w:val="-3"/>
                <w:sz w:val="22"/>
                <w:szCs w:val="22"/>
              </w:rPr>
            </w:pPr>
            <w:r w:rsidRPr="007F18AC">
              <w:rPr>
                <w:i/>
                <w:spacing w:val="-3"/>
                <w:sz w:val="22"/>
                <w:szCs w:val="22"/>
              </w:rPr>
              <w:t>To ensure that the setback of buildings from the street respect the existing or preferred character of the neighbourhood and make efficient use of the site.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5F5D77" w:rsidRDefault="005F5D77" w:rsidP="005F5D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FuturaLT"/>
                <w:color w:val="000000"/>
                <w:sz w:val="22"/>
                <w:szCs w:val="20"/>
                <w:lang w:eastAsia="ja-JP"/>
              </w:rPr>
            </w:pPr>
            <w:r w:rsidRPr="005F5D77">
              <w:rPr>
                <w:rFonts w:ascii="Calibri" w:hAnsi="Calibri" w:cs="FuturaLT"/>
                <w:color w:val="000000"/>
                <w:sz w:val="22"/>
                <w:szCs w:val="20"/>
                <w:lang w:eastAsia="ja-JP"/>
              </w:rPr>
              <w:t>The setback will be more appropriate taking into account the prevailing setback within the street;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061AE3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5F5D77" w:rsidRDefault="005F5D77" w:rsidP="005F5D77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5F5D77">
              <w:rPr>
                <w:sz w:val="22"/>
              </w:rPr>
              <w:t>The setback will be more appropriate taking into account the preferred character of the area, where it has been identified in the relevant planning scheme;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061AE3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599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7F75F5" w:rsidRPr="00200188" w:rsidTr="007F75F5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7F75F5" w:rsidRPr="005F5D77" w:rsidRDefault="007F75F5" w:rsidP="007F75F5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5F5D77">
              <w:rPr>
                <w:sz w:val="22"/>
              </w:rPr>
              <w:lastRenderedPageBreak/>
              <w:t>The siting of the building is constrained by the shape and/or dimensions of the allotment; or</w:t>
            </w:r>
          </w:p>
        </w:tc>
      </w:tr>
      <w:tr w:rsidR="007F75F5" w:rsidRPr="005A799D" w:rsidTr="007F75F5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7F75F5" w:rsidRPr="00200188" w:rsidTr="007F75F5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7F75F5" w:rsidRPr="00200188" w:rsidRDefault="007F75F5" w:rsidP="007F75F5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5F5D77">
              <w:rPr>
                <w:sz w:val="22"/>
              </w:rPr>
              <w:t>The siting of the building is constrained by the slope of the allotment or other conditions on the allotment; or</w:t>
            </w:r>
          </w:p>
        </w:tc>
      </w:tr>
      <w:tr w:rsidR="007F75F5" w:rsidRPr="005A799D" w:rsidTr="007F75F5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7F75F5" w:rsidRPr="00200188" w:rsidTr="007F75F5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7F75F5" w:rsidRPr="00200188" w:rsidRDefault="007F75F5" w:rsidP="007F75F5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5F5D77">
              <w:rPr>
                <w:sz w:val="22"/>
              </w:rPr>
              <w:t>There is a need to decrease the setback to maximise solar access to habitable room windows and/or private open space; or</w:t>
            </w:r>
          </w:p>
        </w:tc>
      </w:tr>
      <w:tr w:rsidR="007F75F5" w:rsidRPr="005A799D" w:rsidTr="007F75F5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7F75F5" w:rsidRPr="00200188" w:rsidTr="007F75F5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7F75F5" w:rsidRPr="00200188" w:rsidRDefault="007F75F5" w:rsidP="007F75F5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5F5D77">
              <w:rPr>
                <w:sz w:val="22"/>
              </w:rPr>
              <w:t>The setback will be more appropriate taking into account the desire or need to retain vegetation on the allotment; and</w:t>
            </w:r>
          </w:p>
        </w:tc>
      </w:tr>
      <w:tr w:rsidR="007F75F5" w:rsidRPr="005A799D" w:rsidTr="007F75F5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7F75F5" w:rsidRPr="00200188" w:rsidTr="007F75F5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7F75F5" w:rsidRPr="00200188" w:rsidRDefault="007F75F5" w:rsidP="007F75F5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5F5D77">
              <w:rPr>
                <w:sz w:val="22"/>
              </w:rPr>
              <w:t>The setback is consistent with a building envelope that has been approved under a planning scheme or planning permit and/or included in an agreement under Section 173 of the Planning and Environment Act 1987; and</w:t>
            </w:r>
          </w:p>
        </w:tc>
      </w:tr>
      <w:tr w:rsidR="007F75F5" w:rsidRPr="005A799D" w:rsidTr="007F75F5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7F75F5" w:rsidRPr="00200188" w:rsidTr="007F75F5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7F75F5" w:rsidRPr="00200188" w:rsidRDefault="007F75F5" w:rsidP="007F75F5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5F5D77">
              <w:rPr>
                <w:sz w:val="22"/>
              </w:rPr>
              <w:t>The setback will not result in a disruption of the streetscape; and</w:t>
            </w:r>
          </w:p>
        </w:tc>
      </w:tr>
      <w:tr w:rsidR="007F75F5" w:rsidRPr="005A799D" w:rsidTr="007F75F5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7F75F5" w:rsidRPr="005A799D" w:rsidTr="007F75F5">
        <w:trPr>
          <w:trHeight w:val="246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5F5D77" w:rsidRDefault="007F75F5" w:rsidP="007F75F5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5F5D77">
              <w:rPr>
                <w:spacing w:val="-3"/>
                <w:sz w:val="22"/>
                <w:szCs w:val="22"/>
              </w:rPr>
              <w:t>The setback is consistent with any relevant neighbourhood character objective, policy or statement set out in the relevant planning scheme.</w:t>
            </w:r>
          </w:p>
        </w:tc>
      </w:tr>
      <w:tr w:rsidR="007F75F5" w:rsidRPr="005A799D" w:rsidTr="007F75F5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7F75F5" w:rsidRPr="00AE4988" w:rsidRDefault="007F75F5" w:rsidP="007F75F5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7F75F5" w:rsidRDefault="007F75F5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7EED45F" wp14:editId="5056345A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1510C5B9" wp14:editId="3F7DF537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1623337E" wp14:editId="5F7B3799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32410"/>
    <w:rsid w:val="00061AE3"/>
    <w:rsid w:val="00085399"/>
    <w:rsid w:val="000B2915"/>
    <w:rsid w:val="000B6ADD"/>
    <w:rsid w:val="000E343C"/>
    <w:rsid w:val="000F7052"/>
    <w:rsid w:val="00145188"/>
    <w:rsid w:val="001558E3"/>
    <w:rsid w:val="001A67F3"/>
    <w:rsid w:val="001D7F54"/>
    <w:rsid w:val="001E7390"/>
    <w:rsid w:val="00200188"/>
    <w:rsid w:val="002911B3"/>
    <w:rsid w:val="002A4032"/>
    <w:rsid w:val="002D4536"/>
    <w:rsid w:val="00343786"/>
    <w:rsid w:val="003F65B4"/>
    <w:rsid w:val="00422920"/>
    <w:rsid w:val="00464578"/>
    <w:rsid w:val="00520D65"/>
    <w:rsid w:val="00547A5C"/>
    <w:rsid w:val="0055116B"/>
    <w:rsid w:val="00583CC7"/>
    <w:rsid w:val="005C55B9"/>
    <w:rsid w:val="005C6205"/>
    <w:rsid w:val="005E0A20"/>
    <w:rsid w:val="005E4339"/>
    <w:rsid w:val="005F3581"/>
    <w:rsid w:val="005F5D77"/>
    <w:rsid w:val="0076125E"/>
    <w:rsid w:val="007F18AC"/>
    <w:rsid w:val="007F75F5"/>
    <w:rsid w:val="00810910"/>
    <w:rsid w:val="00871A7D"/>
    <w:rsid w:val="009009C1"/>
    <w:rsid w:val="009032D8"/>
    <w:rsid w:val="0095228D"/>
    <w:rsid w:val="009C2873"/>
    <w:rsid w:val="00A317A1"/>
    <w:rsid w:val="00AA67BD"/>
    <w:rsid w:val="00AC0110"/>
    <w:rsid w:val="00B57AB9"/>
    <w:rsid w:val="00B6649D"/>
    <w:rsid w:val="00BC6BA2"/>
    <w:rsid w:val="00BD4950"/>
    <w:rsid w:val="00C95BD7"/>
    <w:rsid w:val="00CA6EFB"/>
    <w:rsid w:val="00E105EF"/>
    <w:rsid w:val="00E13CB3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D1C7EA-4497-4A39-B2F3-2FA72134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6</cp:revision>
  <cp:lastPrinted>2018-02-06T07:12:00Z</cp:lastPrinted>
  <dcterms:created xsi:type="dcterms:W3CDTF">2018-06-14T06:35:00Z</dcterms:created>
  <dcterms:modified xsi:type="dcterms:W3CDTF">2018-06-26T00:58:00Z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